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6237"/>
        <w:gridCol w:w="4819"/>
      </w:tblGrid>
      <w:tr w:rsidR="00A9638D" w:rsidTr="001F7AE6">
        <w:trPr>
          <w:trHeight w:val="11350"/>
        </w:trPr>
        <w:tc>
          <w:tcPr>
            <w:tcW w:w="5104" w:type="dxa"/>
          </w:tcPr>
          <w:p w:rsidR="00F62D3A" w:rsidRPr="003D6E8D" w:rsidRDefault="00F62D3A" w:rsidP="00F62D3A">
            <w:pPr>
              <w:spacing w:line="288" w:lineRule="auto"/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 w:rsidRPr="003D6E8D">
              <w:rPr>
                <w:rFonts w:ascii="Franklin Gothic Demi" w:hAnsi="Franklin Gothic Demi" w:cs="Times New Roman"/>
                <w:b/>
                <w:sz w:val="24"/>
                <w:szCs w:val="24"/>
              </w:rPr>
              <w:t>Основные направления конференции</w:t>
            </w:r>
          </w:p>
          <w:p w:rsidR="00F62D3A" w:rsidRPr="007A5740" w:rsidRDefault="00F62D3A" w:rsidP="00F62D3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D6E8D">
              <w:rPr>
                <w:rFonts w:ascii="MS Mincho" w:eastAsia="MS Mincho" w:hAnsi="MS Mincho" w:cs="MS Mincho" w:hint="eastAsia"/>
                <w:sz w:val="24"/>
                <w:szCs w:val="24"/>
              </w:rPr>
              <w:t>✓</w:t>
            </w:r>
            <w:r w:rsidRPr="007A5740">
              <w:rPr>
                <w:rFonts w:ascii="Times New Roman" w:eastAsia="MS Gothic" w:hAnsi="Times New Roman" w:cs="Times New Roman"/>
                <w:sz w:val="24"/>
                <w:szCs w:val="24"/>
              </w:rPr>
              <w:t>Общие вопросы современной биохимии и микробиологии;</w:t>
            </w:r>
          </w:p>
          <w:p w:rsidR="00F62D3A" w:rsidRPr="007A5740" w:rsidRDefault="00F62D3A" w:rsidP="00F62D3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A5740">
              <w:rPr>
                <w:rFonts w:ascii="MS Mincho" w:eastAsia="MS Mincho" w:hAnsi="MS Mincho" w:cs="MS Mincho" w:hint="eastAsia"/>
                <w:sz w:val="24"/>
                <w:szCs w:val="24"/>
              </w:rPr>
              <w:t>✓</w:t>
            </w:r>
            <w:r w:rsidRPr="007A5740">
              <w:rPr>
                <w:rFonts w:ascii="Times New Roman" w:eastAsia="MS Mincho" w:hAnsi="Times New Roman" w:cs="Times New Roman"/>
                <w:sz w:val="24"/>
                <w:szCs w:val="24"/>
              </w:rPr>
              <w:t>Безопасность и качество продуктов питания;</w:t>
            </w:r>
          </w:p>
          <w:p w:rsidR="00F62D3A" w:rsidRPr="007A5740" w:rsidRDefault="00F62D3A" w:rsidP="00F62D3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A5740">
              <w:rPr>
                <w:rFonts w:ascii="MS Mincho" w:eastAsia="MS Mincho" w:hAnsi="MS Mincho" w:cs="MS Mincho" w:hint="eastAsia"/>
                <w:sz w:val="24"/>
                <w:szCs w:val="24"/>
              </w:rPr>
              <w:t>✓</w:t>
            </w:r>
            <w:r w:rsidRPr="007A5740">
              <w:rPr>
                <w:rFonts w:ascii="Times New Roman" w:eastAsia="MS Mincho" w:hAnsi="Times New Roman" w:cs="Times New Roman"/>
                <w:sz w:val="24"/>
                <w:szCs w:val="24"/>
              </w:rPr>
              <w:t>Биомедицина и медицинская статистик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7A5740"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F62D3A" w:rsidRPr="007A5740" w:rsidRDefault="00F62D3A" w:rsidP="00F62D3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7A5740">
              <w:rPr>
                <w:rFonts w:ascii="MS Mincho" w:eastAsia="MS Mincho" w:hAnsi="MS Mincho" w:cs="MS Mincho" w:hint="eastAsia"/>
                <w:sz w:val="24"/>
                <w:szCs w:val="24"/>
              </w:rPr>
              <w:t>✓</w:t>
            </w:r>
            <w:r w:rsidRPr="007A5740">
              <w:rPr>
                <w:rFonts w:ascii="Times New Roman" w:eastAsia="MS Mincho" w:hAnsi="Times New Roman" w:cs="Times New Roman"/>
                <w:sz w:val="24"/>
                <w:szCs w:val="24"/>
              </w:rPr>
              <w:t>Экология человека и оценка состояния окружающей среды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7A574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3D6E8D"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 xml:space="preserve"> участия в конференции</w:t>
            </w: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Style w:val="unicode1"/>
                <w:rFonts w:ascii="MS Mincho" w:eastAsia="MS Mincho" w:hAnsi="MS Mincho" w:cs="MS Mincho" w:hint="default"/>
                <w:sz w:val="24"/>
                <w:szCs w:val="24"/>
              </w:rPr>
              <w:t>✓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Очная - устный доклад и публикация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Style w:val="unicode1"/>
                <w:rFonts w:ascii="MS Mincho" w:eastAsia="MS Mincho" w:hAnsi="MS Mincho" w:cs="MS Mincho" w:hint="default"/>
                <w:sz w:val="24"/>
                <w:szCs w:val="24"/>
              </w:rPr>
              <w:t>✓</w:t>
            </w:r>
            <w:r w:rsidR="001D6BFE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- стендовая презентация и публикация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Style w:val="unicode1"/>
                <w:rFonts w:ascii="MS Mincho" w:eastAsia="MS Mincho" w:hAnsi="MS Mincho" w:cs="MS Mincho" w:hint="default"/>
                <w:sz w:val="24"/>
                <w:szCs w:val="24"/>
              </w:rPr>
              <w:t>✓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Заочная – публикация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Style w:val="unicode1"/>
                <w:rFonts w:ascii="MS Mincho" w:eastAsia="MS Mincho" w:hAnsi="MS Mincho" w:cs="MS Mincho" w:hint="default"/>
                <w:sz w:val="24"/>
                <w:szCs w:val="24"/>
              </w:rPr>
              <w:t>✓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В качестве 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2D3A" w:rsidRPr="003D6E8D" w:rsidRDefault="00F62D3A" w:rsidP="00F62D3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 w:rsidRPr="003D6E8D"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>Заявки на участие и материалы конференции</w:t>
            </w:r>
          </w:p>
          <w:p w:rsidR="00F62D3A" w:rsidRPr="003D6E8D" w:rsidRDefault="00F62D3A" w:rsidP="00F62D3A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конференции и материалы докладов (форма заявки и правила оформления статей прилагаются) следует прислать в оргкомитет  в сроки: </w:t>
            </w:r>
          </w:p>
          <w:p w:rsidR="00F62D3A" w:rsidRPr="003D6E8D" w:rsidRDefault="00F62D3A" w:rsidP="00F62D3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Style w:val="unicode1"/>
                <w:rFonts w:ascii="MS Mincho" w:eastAsia="MS Mincho" w:hAnsi="MS Mincho" w:cs="MS Mincho" w:hint="default"/>
                <w:sz w:val="24"/>
                <w:szCs w:val="24"/>
              </w:rPr>
              <w:t>✓</w:t>
            </w:r>
            <w:r w:rsidRPr="003D6E8D">
              <w:rPr>
                <w:rStyle w:val="unicode1"/>
                <w:rFonts w:ascii="Times New Roman" w:hAnsi="Times New Roman" w:cs="Times New Roman" w:hint="default"/>
                <w:sz w:val="24"/>
                <w:szCs w:val="24"/>
              </w:rPr>
              <w:t xml:space="preserve">заявки - 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7930" w:rsidRPr="00E85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 мая 2014 г.</w:t>
            </w:r>
          </w:p>
          <w:p w:rsidR="00F62D3A" w:rsidRPr="00797930" w:rsidRDefault="00F62D3A" w:rsidP="00F62D3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Style w:val="unicode1"/>
                <w:rFonts w:ascii="MS Mincho" w:eastAsia="MS Mincho" w:hAnsi="MS Mincho" w:cs="MS Mincho" w:hint="default"/>
                <w:sz w:val="24"/>
                <w:szCs w:val="24"/>
              </w:rPr>
              <w:t>✓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материалы докладов - до 31 мая 2014 г.</w:t>
            </w:r>
          </w:p>
          <w:p w:rsidR="00797930" w:rsidRPr="00797930" w:rsidRDefault="00797930" w:rsidP="00797930">
            <w:pPr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будут опубликова</w:t>
            </w:r>
            <w:r w:rsidRPr="00797930">
              <w:rPr>
                <w:rFonts w:ascii="Times New Roman" w:hAnsi="Times New Roman" w:cs="Times New Roman"/>
                <w:sz w:val="24"/>
                <w:szCs w:val="24"/>
              </w:rPr>
              <w:t xml:space="preserve">ны в электронном сборнике </w:t>
            </w:r>
            <w:r w:rsidR="003D41B3">
              <w:rPr>
                <w:rFonts w:ascii="Times New Roman" w:hAnsi="Times New Roman" w:cs="Times New Roman"/>
                <w:sz w:val="24"/>
                <w:szCs w:val="24"/>
              </w:rPr>
              <w:t>материалов конференции</w:t>
            </w:r>
            <w:r w:rsidRPr="00797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D3A" w:rsidRPr="003D41B3" w:rsidRDefault="00F62D3A" w:rsidP="00F62D3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3D41B3" w:rsidRPr="003D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uskova</w:t>
            </w:r>
            <w:proofErr w:type="spellEnd"/>
            <w:r w:rsidR="003D41B3" w:rsidRPr="003D41B3">
              <w:rPr>
                <w:rFonts w:ascii="Times New Roman" w:hAnsi="Times New Roman" w:cs="Times New Roman"/>
                <w:sz w:val="24"/>
                <w:szCs w:val="24"/>
              </w:rPr>
              <w:t>-72@mail.</w:t>
            </w:r>
            <w:r w:rsidR="003D41B3" w:rsidRPr="003D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61311" w:rsidRDefault="00861311" w:rsidP="00E85258">
            <w:pPr>
              <w:spacing w:line="288" w:lineRule="auto"/>
              <w:jc w:val="center"/>
            </w:pPr>
          </w:p>
        </w:tc>
        <w:tc>
          <w:tcPr>
            <w:tcW w:w="6237" w:type="dxa"/>
          </w:tcPr>
          <w:p w:rsidR="00C5280A" w:rsidRDefault="00B25369" w:rsidP="00292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69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9.85pt;margin-top:4.5pt;width:285.1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" fillcolor="white [3201]" strokecolor="#95b3d7 [1940]" strokeweight="2pt">
                  <v:textbox>
                    <w:txbxContent>
                      <w:p w:rsidR="00861311" w:rsidRPr="001F7AE6" w:rsidRDefault="00861311" w:rsidP="0086131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F7AE6">
                          <w:rPr>
                            <w:rFonts w:ascii="Times New Roman" w:hAnsi="Times New Roman" w:cs="Times New Roman"/>
                            <w:b/>
                            <w:caps/>
                            <w:color w:val="000000" w:themeColor="text1"/>
                            <w:sz w:val="20"/>
                            <w:szCs w:val="20"/>
                          </w:rPr>
                          <w:t>ФГБОУ ВПО «Мурманский государственный технический университет»</w:t>
                        </w:r>
                      </w:p>
                      <w:p w:rsidR="00861311" w:rsidRPr="00861311" w:rsidRDefault="00861311" w:rsidP="0086131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61311">
                          <w:rPr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854015" cy="405441"/>
                              <wp:effectExtent l="0" t="0" r="381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 rotWithShape="1">
                                      <a:blip r:embed="rId5"/>
                                      <a:srcRect l="1435" t="15789" r="84362" b="7568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53847" cy="40536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61311" w:rsidRPr="00861311" w:rsidRDefault="00861311" w:rsidP="0086131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  <w:p w:rsidR="00861311" w:rsidRPr="00861311" w:rsidRDefault="00861311" w:rsidP="0086131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861311" w:rsidRPr="00F62D3A" w:rsidRDefault="00861311" w:rsidP="00F62D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«Микробиология и биохимия»</w:t>
            </w:r>
          </w:p>
          <w:p w:rsidR="00861311" w:rsidRPr="00F3790D" w:rsidRDefault="003D41B3" w:rsidP="00861311">
            <w:pPr>
              <w:spacing w:line="288" w:lineRule="auto"/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>
              <w:rPr>
                <w:rFonts w:ascii="Franklin Gothic Demi" w:hAnsi="Franklin Gothic Demi" w:cs="Times New Roman"/>
                <w:sz w:val="24"/>
                <w:szCs w:val="24"/>
              </w:rPr>
              <w:t>Научно-практическая конференция</w:t>
            </w:r>
          </w:p>
          <w:p w:rsidR="00861311" w:rsidRPr="003D41B3" w:rsidRDefault="00861311" w:rsidP="00861311">
            <w:pPr>
              <w:spacing w:line="288" w:lineRule="auto"/>
              <w:jc w:val="center"/>
              <w:rPr>
                <w:rFonts w:ascii="Franklin Gothic Demi" w:hAnsi="Franklin Gothic Demi" w:cs="Times New Roman"/>
                <w:caps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 w:rsidRPr="003D41B3">
              <w:rPr>
                <w:rFonts w:ascii="Franklin Gothic Demi" w:hAnsi="Franklin Gothic Demi" w:cs="Times New Roman"/>
                <w:caps/>
                <w:sz w:val="24"/>
                <w:szCs w:val="24"/>
              </w:rPr>
              <w:t>Теоретические и прикладные вопросы биохимии и микробиологии»</w:t>
            </w:r>
          </w:p>
          <w:p w:rsidR="00861311" w:rsidRPr="003D6E8D" w:rsidRDefault="00861311" w:rsidP="0086131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11" w:rsidRPr="003D6E8D" w:rsidRDefault="00861311" w:rsidP="0086131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Россия, Мурманск,</w:t>
            </w:r>
          </w:p>
          <w:p w:rsidR="00861311" w:rsidRPr="003D6E8D" w:rsidRDefault="00861311" w:rsidP="0086131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>20 мая 2014 года</w:t>
            </w:r>
          </w:p>
          <w:p w:rsidR="00861311" w:rsidRPr="003D6E8D" w:rsidRDefault="00861311" w:rsidP="0086131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AE6" w:rsidRPr="003D41B3" w:rsidRDefault="00861311" w:rsidP="00F3790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1B3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письмо</w:t>
            </w:r>
          </w:p>
          <w:p w:rsidR="00861311" w:rsidRPr="003D6E8D" w:rsidRDefault="00861311" w:rsidP="0086131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E8D">
              <w:rPr>
                <w:rFonts w:ascii="Times New Roman" w:hAnsi="Times New Roman" w:cs="Times New Roman"/>
                <w:i/>
                <w:sz w:val="24"/>
                <w:szCs w:val="24"/>
              </w:rPr>
              <w:t>Уважаемые коллеги!!!</w:t>
            </w:r>
          </w:p>
          <w:p w:rsidR="00861311" w:rsidRDefault="00861311" w:rsidP="001D6BFE">
            <w:pPr>
              <w:spacing w:line="288" w:lineRule="auto"/>
              <w:ind w:firstLine="709"/>
              <w:jc w:val="both"/>
            </w:pPr>
            <w:r w:rsidRPr="00292D92">
              <w:rPr>
                <w:rFonts w:ascii="Times New Roman" w:hAnsi="Times New Roman" w:cs="Times New Roman"/>
                <w:sz w:val="24"/>
                <w:szCs w:val="24"/>
              </w:rPr>
              <w:t>Кафедра микробиологии и биохимии Мурманского государственного технического университета приглашает молодых ученых, аспирантов, студентов, сотрудников ВУЗ</w:t>
            </w:r>
            <w:r w:rsidR="00310E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92D9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специалистов, представителей научных, научно-педагогических и медицинских организаций, а также всех заинтересованных лиц принять участие </w:t>
            </w:r>
            <w:r w:rsidR="00292D92" w:rsidRPr="00292D92">
              <w:rPr>
                <w:rFonts w:ascii="Times New Roman" w:hAnsi="Times New Roman" w:cs="Times New Roman"/>
                <w:sz w:val="24"/>
                <w:szCs w:val="24"/>
              </w:rPr>
              <w:t>в конференции «Теоретические и прикладные вопросы</w:t>
            </w:r>
            <w:r w:rsidR="00F3790D">
              <w:rPr>
                <w:rFonts w:ascii="Times New Roman" w:hAnsi="Times New Roman" w:cs="Times New Roman"/>
                <w:sz w:val="24"/>
                <w:szCs w:val="24"/>
              </w:rPr>
              <w:t xml:space="preserve"> биохимии и микробиологии</w:t>
            </w:r>
            <w:r w:rsidRPr="00292D92">
              <w:rPr>
                <w:rFonts w:ascii="Times New Roman" w:hAnsi="Times New Roman" w:cs="Times New Roman"/>
                <w:sz w:val="24"/>
                <w:szCs w:val="24"/>
              </w:rPr>
              <w:t xml:space="preserve">», которая состоится 20 мая 2014 года. На конференции планируется рассмотреть и обсудить </w:t>
            </w:r>
            <w:r w:rsidR="00292D92" w:rsidRPr="00292D92">
              <w:rPr>
                <w:rFonts w:ascii="Times New Roman" w:hAnsi="Times New Roman" w:cs="Times New Roman"/>
                <w:sz w:val="24"/>
                <w:szCs w:val="24"/>
              </w:rPr>
              <w:t>основные р</w:t>
            </w:r>
            <w:r w:rsidRPr="00292D9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фундаментальных и прикладных исследований в области </w:t>
            </w:r>
            <w:r w:rsidR="001D6BFE">
              <w:rPr>
                <w:rFonts w:ascii="Times New Roman" w:hAnsi="Times New Roman" w:cs="Times New Roman"/>
                <w:sz w:val="24"/>
                <w:szCs w:val="24"/>
              </w:rPr>
              <w:t xml:space="preserve">экологии человека и здравоохранения, санитарии и оценки качества окружающей среды с точки зрения </w:t>
            </w:r>
            <w:r w:rsidRPr="00292D92">
              <w:rPr>
                <w:rFonts w:ascii="Times New Roman" w:hAnsi="Times New Roman" w:cs="Times New Roman"/>
                <w:sz w:val="24"/>
                <w:szCs w:val="24"/>
              </w:rPr>
              <w:t>биохимии и микробиологии</w:t>
            </w:r>
            <w:r w:rsidR="00292D92" w:rsidRPr="0029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F62D3A" w:rsidRPr="003D6E8D" w:rsidRDefault="00F744A4" w:rsidP="00F62D3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 xml:space="preserve">Адрес </w:t>
            </w:r>
            <w:r w:rsidR="00F62D3A" w:rsidRPr="003D6E8D"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>Организационн</w:t>
            </w:r>
            <w:r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>ого</w:t>
            </w:r>
            <w:r w:rsidR="00F62D3A" w:rsidRPr="003D6E8D"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 xml:space="preserve"> комитет</w:t>
            </w:r>
            <w:r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>а</w:t>
            </w:r>
            <w:r w:rsidR="00F62D3A" w:rsidRPr="003D6E8D">
              <w:rPr>
                <w:rFonts w:ascii="Franklin Gothic Demi" w:hAnsi="Franklin Gothic Demi" w:cs="Times New Roman"/>
                <w:b/>
                <w:bCs/>
                <w:sz w:val="24"/>
                <w:szCs w:val="24"/>
              </w:rPr>
              <w:t xml:space="preserve"> конференции</w:t>
            </w:r>
          </w:p>
          <w:p w:rsidR="003D41B3" w:rsidRDefault="003D41B3" w:rsidP="00E8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58" w:rsidRPr="00E85258" w:rsidRDefault="00E85258" w:rsidP="00FA5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58">
              <w:rPr>
                <w:rFonts w:ascii="Times New Roman" w:hAnsi="Times New Roman" w:cs="Times New Roman"/>
                <w:sz w:val="24"/>
                <w:szCs w:val="24"/>
              </w:rPr>
              <w:t xml:space="preserve">183010, г. Мурманск, ул. </w:t>
            </w:r>
            <w:proofErr w:type="gramStart"/>
            <w:r w:rsidRPr="00E8525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E85258">
              <w:rPr>
                <w:rFonts w:ascii="Times New Roman" w:hAnsi="Times New Roman" w:cs="Times New Roman"/>
                <w:sz w:val="24"/>
                <w:szCs w:val="24"/>
              </w:rPr>
              <w:t xml:space="preserve">, 13 </w:t>
            </w:r>
          </w:p>
          <w:p w:rsidR="00FA51D6" w:rsidRPr="00F62D3A" w:rsidRDefault="00E85258" w:rsidP="00FA51D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58">
              <w:rPr>
                <w:rFonts w:ascii="Times New Roman" w:hAnsi="Times New Roman" w:cs="Times New Roman"/>
                <w:sz w:val="24"/>
                <w:szCs w:val="24"/>
              </w:rPr>
              <w:t xml:space="preserve">МГТУ, </w:t>
            </w:r>
            <w:r w:rsidR="00FA51D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FA51D6" w:rsidRPr="003D6E8D">
              <w:rPr>
                <w:rFonts w:ascii="Times New Roman" w:hAnsi="Times New Roman" w:cs="Times New Roman"/>
                <w:sz w:val="24"/>
                <w:szCs w:val="24"/>
              </w:rPr>
              <w:t>«Микробиология и биохимия»</w:t>
            </w:r>
          </w:p>
          <w:p w:rsidR="003D41B3" w:rsidRDefault="003D41B3" w:rsidP="00FA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Владимировна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 w:rsidR="008A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биол.</w:t>
            </w:r>
            <w:r w:rsidR="008A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  <w:r w:rsidRPr="003D6E8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«Микробиология и биохимия»</w:t>
            </w:r>
            <w:r w:rsidR="00FA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A3489" w:rsidRPr="003D6E8D" w:rsidRDefault="008A3489" w:rsidP="00FA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58" w:rsidRPr="003D41B3" w:rsidRDefault="00E85258" w:rsidP="00FA5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2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D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(8152) 40-33-57, 40-33-39</w:t>
            </w:r>
          </w:p>
          <w:p w:rsidR="00E85258" w:rsidRPr="003D41B3" w:rsidRDefault="00E85258" w:rsidP="00FA51D6">
            <w:pPr>
              <w:jc w:val="both"/>
              <w:rPr>
                <w:sz w:val="24"/>
                <w:szCs w:val="24"/>
                <w:lang w:val="en-US"/>
              </w:rPr>
            </w:pPr>
            <w:r w:rsidRPr="00E85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85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D41B3" w:rsidRPr="003D4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uskova-72@mail.ru</w:t>
            </w:r>
          </w:p>
          <w:p w:rsidR="00E85258" w:rsidRPr="003D41B3" w:rsidRDefault="00E85258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E85258" w:rsidRPr="003D41B3" w:rsidRDefault="00E85258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F62D3A" w:rsidRPr="003D41B3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2D3A" w:rsidRPr="003D41B3" w:rsidRDefault="00F62D3A" w:rsidP="001F7A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работы конференции</w:t>
            </w:r>
          </w:p>
          <w:p w:rsidR="001D6BFE" w:rsidRDefault="001D6BFE" w:rsidP="001F7A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b/>
                <w:sz w:val="24"/>
                <w:szCs w:val="24"/>
              </w:rPr>
              <w:t>20 мая 2014 года</w:t>
            </w:r>
          </w:p>
          <w:p w:rsidR="00FA51D6" w:rsidRPr="003D41B3" w:rsidRDefault="00FA51D6" w:rsidP="001F7A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D3A" w:rsidRPr="003D41B3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D6BFE"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 – 10.30</w:t>
            </w: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участников</w:t>
            </w:r>
          </w:p>
          <w:p w:rsidR="00F62D3A" w:rsidRPr="003D41B3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1D6BFE"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конференции </w:t>
            </w:r>
          </w:p>
          <w:p w:rsidR="00F62D3A" w:rsidRPr="003D41B3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1D6BFE"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 – 14.00 </w:t>
            </w:r>
            <w:r w:rsidR="003D41B3" w:rsidRPr="003D41B3">
              <w:rPr>
                <w:rFonts w:ascii="Times New Roman" w:hAnsi="Times New Roman" w:cs="Times New Roman"/>
                <w:sz w:val="24"/>
                <w:szCs w:val="24"/>
              </w:rPr>
              <w:t>Заседание конференции</w:t>
            </w:r>
          </w:p>
          <w:p w:rsidR="00F62D3A" w:rsidRPr="003D41B3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1D6BFE"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 – 14-30 </w:t>
            </w: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  <w:p w:rsidR="001D6BFE" w:rsidRPr="003D41B3" w:rsidRDefault="001D6BFE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14.30 – 17.00 </w:t>
            </w:r>
            <w:r w:rsidR="003D41B3" w:rsidRPr="003D41B3">
              <w:rPr>
                <w:rFonts w:ascii="Times New Roman" w:hAnsi="Times New Roman" w:cs="Times New Roman"/>
                <w:sz w:val="24"/>
                <w:szCs w:val="24"/>
              </w:rPr>
              <w:t>Заседание конференции</w:t>
            </w:r>
          </w:p>
          <w:p w:rsidR="00F62D3A" w:rsidRPr="003D41B3" w:rsidRDefault="00F62D3A" w:rsidP="00F62D3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1D6BFE"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 – 17.30 </w:t>
            </w:r>
            <w:r w:rsidRPr="003D41B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F62D3A" w:rsidRPr="003D6E8D" w:rsidRDefault="00F62D3A" w:rsidP="00F62D3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311" w:rsidRDefault="00861311"/>
        </w:tc>
      </w:tr>
    </w:tbl>
    <w:p w:rsidR="00C5280A" w:rsidRDefault="00C5280A"/>
    <w:tbl>
      <w:tblPr>
        <w:tblStyle w:val="a3"/>
        <w:tblW w:w="174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  <w:gridCol w:w="6061"/>
      </w:tblGrid>
      <w:tr w:rsidR="00C5280A" w:rsidTr="002E4C34">
        <w:tc>
          <w:tcPr>
            <w:tcW w:w="5104" w:type="dxa"/>
          </w:tcPr>
          <w:p w:rsidR="00C5280A" w:rsidRPr="003D6E8D" w:rsidRDefault="00C5280A" w:rsidP="002E4C34">
            <w:pPr>
              <w:spacing w:line="288" w:lineRule="auto"/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 w:rsidRPr="003D6E8D">
              <w:rPr>
                <w:rFonts w:ascii="Franklin Gothic Demi" w:hAnsi="Franklin Gothic Demi" w:cs="Times New Roman"/>
                <w:b/>
                <w:sz w:val="24"/>
                <w:szCs w:val="24"/>
              </w:rPr>
              <w:t>Правила оформления материалов</w:t>
            </w:r>
          </w:p>
          <w:p w:rsidR="00C5280A" w:rsidRPr="003D6E8D" w:rsidRDefault="00C5280A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русском языке или английском языке предоставляется в электронном виде как файл «</w:t>
            </w:r>
            <w:proofErr w:type="spell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Объем статьи </w:t>
            </w:r>
            <w:r w:rsidR="00A9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A9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страниц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Формат листа А</w:t>
            </w:r>
            <w:proofErr w:type="gram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шрифт «</w:t>
            </w:r>
            <w:proofErr w:type="spell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межстрочный интервал – множитель 1,2, поля: левое, верхнее, правое, нижнее — 25 мм, перенос слов</w:t>
            </w:r>
            <w:r w:rsidR="001D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автоматический. Заголовок статьи печатается </w:t>
            </w:r>
            <w:r w:rsidR="00A9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заглавными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буквами. Шрифт полужирный, размер шрифта 14, выравнивание по левому краю. Фамилия, инициалы автора (авторов) размещаются через интервал после заголовка статьи. Шри</w:t>
            </w:r>
            <w:proofErr w:type="gram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 </w:t>
            </w:r>
            <w:r w:rsidR="001D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="001D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полужирный, размер шрифта 14, выравнивание по левому краю. Сведения об авторах (город, организация, кафедра, </w:t>
            </w:r>
            <w:proofErr w:type="spell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размещаются в строку с фамилией и инициалами авторов в круглых скобках. Шрифт курсивный, размер шрифта — 14, выравнивание по левому краю. </w:t>
            </w:r>
          </w:p>
          <w:p w:rsidR="00C5280A" w:rsidRPr="003D6E8D" w:rsidRDefault="00C5280A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на русском и английском языках размещается через интервал после сведений об авторе, объем 4-5 строк. Размер шрифта </w:t>
            </w:r>
            <w:r w:rsidR="00A9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выравнивание по ширине. Ключевые слова на русском и английском языке размещается через интервал после аннотации. Размер шрифта — 12, выравнивание по ширине. </w:t>
            </w:r>
          </w:p>
          <w:p w:rsidR="00C5280A" w:rsidRPr="00F3790D" w:rsidRDefault="00DB77D5" w:rsidP="0079793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размещается через интервал </w:t>
            </w:r>
          </w:p>
        </w:tc>
        <w:tc>
          <w:tcPr>
            <w:tcW w:w="6237" w:type="dxa"/>
          </w:tcPr>
          <w:p w:rsidR="008F41DE" w:rsidRDefault="00797930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аннотации. Размер шрифта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абзацный отступ </w:t>
            </w:r>
            <w:r w:rsidR="002E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1,25, выравнивание по ширине. Рисунки, таблицы, математические формулы и уравнения оформляются в </w:t>
            </w:r>
            <w:r w:rsidR="00A9638D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ГОСТ 7.32-2003.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научно-исследовательской работе: структура и правила оформления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Библиографические ссылки оформляются в квадратных скобках в соответствии с ГОСТ </w:t>
            </w:r>
            <w:proofErr w:type="gramStart"/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7.0.5-2008. 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 ссылка: общие требования и правила составления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литературы размещается через интервал после текста статьи. Размер шрифта — 14, без абзацного отступа, выравнивание по ширине. Библиографические записи располагаются по мере цитирования и составляются в соответствии с ГОСТ 7.1-2003. 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 запись. Библиографическое описание: общие требования и правила составления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F41DE"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85258" w:rsidRPr="003D6E8D" w:rsidRDefault="00E85258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1DE" w:rsidRPr="003D6E8D" w:rsidRDefault="008F41DE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Стендовый доклад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быть представлен в печатном виде на листах формата А</w:t>
            </w:r>
            <w:proofErr w:type="gramStart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размещённых на плакате формата А1.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стендового доклада должен содержать: 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автора, место работы, должность, учёная степень, учёное звание</w:t>
            </w:r>
            <w:r w:rsidR="00DE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Стендовый доклад должен иметь следующие обязательные элементы демонстрации: </w:t>
            </w:r>
          </w:p>
          <w:p w:rsidR="008F41DE" w:rsidRPr="003D6E8D" w:rsidRDefault="008F41DE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-сведения о работе: цель, актуальность проблемы, основные методы решения проблемы</w:t>
            </w:r>
          </w:p>
          <w:p w:rsidR="008F41DE" w:rsidRPr="003D6E8D" w:rsidRDefault="008F41DE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-наглядность: иллюстрации к докладу, графики, формулы, таблицы, фотографии, плакаты</w:t>
            </w:r>
          </w:p>
          <w:p w:rsidR="008F41DE" w:rsidRPr="003D6E8D" w:rsidRDefault="008F41DE" w:rsidP="008F41D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-другую информацию, которую автор считает важной для оценки работы</w:t>
            </w:r>
          </w:p>
          <w:p w:rsidR="00C5280A" w:rsidRDefault="00C5280A" w:rsidP="008F41DE">
            <w:pPr>
              <w:spacing w:line="288" w:lineRule="auto"/>
              <w:jc w:val="both"/>
            </w:pPr>
          </w:p>
        </w:tc>
        <w:tc>
          <w:tcPr>
            <w:tcW w:w="6061" w:type="dxa"/>
          </w:tcPr>
          <w:p w:rsidR="008F41DE" w:rsidRPr="003D6E8D" w:rsidRDefault="002E4C34" w:rsidP="002E4C34">
            <w:pPr>
              <w:spacing w:line="288" w:lineRule="auto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>
              <w:rPr>
                <w:rFonts w:ascii="Franklin Gothic Demi" w:hAnsi="Franklin Gothic Demi" w:cs="Times New Roman"/>
                <w:b/>
                <w:sz w:val="24"/>
                <w:szCs w:val="24"/>
              </w:rPr>
              <w:t xml:space="preserve">                </w:t>
            </w:r>
            <w:r w:rsidR="008F41DE" w:rsidRPr="003D6E8D">
              <w:rPr>
                <w:rFonts w:ascii="Franklin Gothic Demi" w:hAnsi="Franklin Gothic Demi" w:cs="Times New Roman"/>
                <w:b/>
                <w:sz w:val="24"/>
                <w:szCs w:val="24"/>
              </w:rPr>
              <w:t>Заявка участника</w:t>
            </w:r>
          </w:p>
          <w:tbl>
            <w:tblPr>
              <w:tblStyle w:val="a3"/>
              <w:tblW w:w="5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19"/>
              <w:gridCol w:w="2126"/>
            </w:tblGrid>
            <w:tr w:rsidR="008F41DE" w:rsidRPr="003D6E8D" w:rsidTr="00797930">
              <w:trPr>
                <w:trHeight w:val="410"/>
              </w:trPr>
              <w:tc>
                <w:tcPr>
                  <w:tcW w:w="3719" w:type="dxa"/>
                </w:tcPr>
                <w:p w:rsidR="008F41DE" w:rsidRPr="003D6E8D" w:rsidRDefault="00797930" w:rsidP="00797930">
                  <w:pPr>
                    <w:spacing w:line="288" w:lineRule="auto"/>
                    <w:ind w:righ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Фамилия, Имя, </w:t>
                  </w:r>
                  <w:r w:rsidR="008F41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Отчество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42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(полное название)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10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42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Ученая степень, звание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10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10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42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статьи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10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Соавторы (Фамилия Имя Отчество)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42"/>
              </w:trPr>
              <w:tc>
                <w:tcPr>
                  <w:tcW w:w="3719" w:type="dxa"/>
                </w:tcPr>
                <w:p w:rsidR="008F41DE" w:rsidRPr="003D6E8D" w:rsidRDefault="00DE2E29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конференции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41DE" w:rsidRPr="003D6E8D" w:rsidTr="00797930">
              <w:trPr>
                <w:trHeight w:val="410"/>
              </w:trPr>
              <w:tc>
                <w:tcPr>
                  <w:tcW w:w="3719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6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участия</w:t>
                  </w:r>
                </w:p>
              </w:tc>
              <w:tc>
                <w:tcPr>
                  <w:tcW w:w="2126" w:type="dxa"/>
                </w:tcPr>
                <w:p w:rsidR="008F41DE" w:rsidRPr="003D6E8D" w:rsidRDefault="008F41DE" w:rsidP="0099111D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41DE" w:rsidRPr="003D6E8D" w:rsidRDefault="008F41DE" w:rsidP="008F41D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80A" w:rsidRDefault="00C5280A"/>
        </w:tc>
      </w:tr>
    </w:tbl>
    <w:p w:rsidR="00C5280A" w:rsidRDefault="00C5280A"/>
    <w:sectPr w:rsidR="00C5280A" w:rsidSect="00DB77D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1311"/>
    <w:rsid w:val="001D6BFE"/>
    <w:rsid w:val="001E3FB5"/>
    <w:rsid w:val="001F7AE6"/>
    <w:rsid w:val="0021014B"/>
    <w:rsid w:val="00292D92"/>
    <w:rsid w:val="002E4C34"/>
    <w:rsid w:val="00310E3E"/>
    <w:rsid w:val="003D41B3"/>
    <w:rsid w:val="003F43D8"/>
    <w:rsid w:val="00482D1B"/>
    <w:rsid w:val="004D2505"/>
    <w:rsid w:val="00797930"/>
    <w:rsid w:val="00861311"/>
    <w:rsid w:val="008A3489"/>
    <w:rsid w:val="008F41DE"/>
    <w:rsid w:val="00A9638D"/>
    <w:rsid w:val="00B25369"/>
    <w:rsid w:val="00C44E81"/>
    <w:rsid w:val="00C5280A"/>
    <w:rsid w:val="00DB77D5"/>
    <w:rsid w:val="00DE2E29"/>
    <w:rsid w:val="00E85258"/>
    <w:rsid w:val="00F3790D"/>
    <w:rsid w:val="00F62D3A"/>
    <w:rsid w:val="00F744A4"/>
    <w:rsid w:val="00F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311"/>
    <w:rPr>
      <w:rFonts w:ascii="Tahoma" w:hAnsi="Tahoma" w:cs="Tahoma"/>
      <w:sz w:val="16"/>
      <w:szCs w:val="16"/>
    </w:rPr>
  </w:style>
  <w:style w:type="character" w:customStyle="1" w:styleId="unicode1">
    <w:name w:val="unicode1"/>
    <w:basedOn w:val="a0"/>
    <w:rsid w:val="00F62D3A"/>
    <w:rPr>
      <w:rFonts w:ascii="Arial Unicode MS" w:eastAsia="Arial Unicode MS" w:hAnsi="Arial Unicode MS" w:cs="Arial Unicode MS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311"/>
    <w:rPr>
      <w:rFonts w:ascii="Tahoma" w:hAnsi="Tahoma" w:cs="Tahoma"/>
      <w:sz w:val="16"/>
      <w:szCs w:val="16"/>
    </w:rPr>
  </w:style>
  <w:style w:type="character" w:customStyle="1" w:styleId="unicode1">
    <w:name w:val="unicode1"/>
    <w:basedOn w:val="a0"/>
    <w:rsid w:val="00F62D3A"/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7AB1-E2BD-4EAE-BF3B-000FFD6F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ITC</cp:lastModifiedBy>
  <cp:revision>10</cp:revision>
  <dcterms:created xsi:type="dcterms:W3CDTF">2014-04-18T12:29:00Z</dcterms:created>
  <dcterms:modified xsi:type="dcterms:W3CDTF">2014-04-23T11:41:00Z</dcterms:modified>
</cp:coreProperties>
</file>